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01595" w14:textId="77777777" w:rsidR="0013183D" w:rsidRDefault="0013183D" w:rsidP="001A63D1">
      <w:pPr>
        <w:pStyle w:val="xmsonormal"/>
        <w:rPr>
          <w:rFonts w:asciiTheme="minorHAnsi" w:hAnsiTheme="minorHAnsi" w:cstheme="minorHAnsi"/>
          <w:b/>
          <w:bCs/>
        </w:rPr>
      </w:pPr>
    </w:p>
    <w:p w14:paraId="18810872" w14:textId="230E3AC3" w:rsidR="007E3458" w:rsidRPr="00E82FC6" w:rsidRDefault="00ED5BCB" w:rsidP="0013183D">
      <w:pPr>
        <w:pStyle w:val="xmsonormal"/>
        <w:ind w:firstLine="360"/>
        <w:rPr>
          <w:rFonts w:asciiTheme="minorHAnsi" w:hAnsiTheme="minorHAnsi" w:cstheme="minorHAnsi"/>
          <w:b/>
          <w:bCs/>
        </w:rPr>
      </w:pPr>
      <w:r>
        <w:rPr>
          <w:rFonts w:asciiTheme="minorHAnsi" w:hAnsiTheme="minorHAnsi" w:cstheme="minorHAnsi"/>
          <w:b/>
          <w:bCs/>
        </w:rPr>
        <w:t>SOUTH LONDON</w:t>
      </w:r>
    </w:p>
    <w:p w14:paraId="3608CD64" w14:textId="7262EEB4" w:rsidR="002B4F41" w:rsidRDefault="004F596D" w:rsidP="00FB2A3D">
      <w:pPr>
        <w:pStyle w:val="xmsonormal"/>
        <w:ind w:left="360"/>
        <w:rPr>
          <w:rFonts w:asciiTheme="minorHAnsi" w:hAnsiTheme="minorHAnsi" w:cstheme="minorHAnsi"/>
          <w:b/>
        </w:rPr>
      </w:pPr>
      <w:r>
        <w:rPr>
          <w:rFonts w:asciiTheme="minorHAnsi" w:hAnsiTheme="minorHAnsi" w:cstheme="minorHAnsi"/>
          <w:b/>
        </w:rPr>
        <w:t>ELEPHANT PARK</w:t>
      </w:r>
      <w:r w:rsidR="003C71B6">
        <w:rPr>
          <w:rFonts w:asciiTheme="minorHAnsi" w:hAnsiTheme="minorHAnsi" w:cstheme="minorHAnsi"/>
          <w:b/>
        </w:rPr>
        <w:t xml:space="preserve"> : </w:t>
      </w:r>
      <w:r w:rsidR="00AE6813">
        <w:rPr>
          <w:rFonts w:asciiTheme="minorHAnsi" w:hAnsiTheme="minorHAnsi" w:cstheme="minorHAnsi"/>
          <w:b/>
        </w:rPr>
        <w:t xml:space="preserve">UP TO </w:t>
      </w:r>
      <w:r w:rsidR="0067762F">
        <w:rPr>
          <w:rFonts w:asciiTheme="minorHAnsi" w:hAnsiTheme="minorHAnsi" w:cstheme="minorHAnsi"/>
          <w:b/>
        </w:rPr>
        <w:t>£</w:t>
      </w:r>
      <w:r>
        <w:rPr>
          <w:rFonts w:asciiTheme="minorHAnsi" w:hAnsiTheme="minorHAnsi" w:cstheme="minorHAnsi"/>
          <w:b/>
        </w:rPr>
        <w:t>7,5</w:t>
      </w:r>
      <w:r w:rsidR="003B4967">
        <w:rPr>
          <w:rFonts w:asciiTheme="minorHAnsi" w:hAnsiTheme="minorHAnsi" w:cstheme="minorHAnsi"/>
          <w:b/>
        </w:rPr>
        <w:t>00</w:t>
      </w:r>
      <w:r w:rsidR="0067762F">
        <w:rPr>
          <w:rFonts w:asciiTheme="minorHAnsi" w:hAnsiTheme="minorHAnsi" w:cstheme="minorHAnsi"/>
          <w:b/>
        </w:rPr>
        <w:t xml:space="preserve"> TOWARDS BUYING COSTS</w:t>
      </w:r>
    </w:p>
    <w:p w14:paraId="730632FA" w14:textId="77777777" w:rsidR="003F214C" w:rsidRDefault="003F214C" w:rsidP="003F214C">
      <w:pPr>
        <w:pStyle w:val="xmsonormal"/>
        <w:ind w:left="360" w:firstLine="23"/>
        <w:rPr>
          <w:rFonts w:asciiTheme="minorHAnsi" w:hAnsiTheme="minorHAnsi" w:cstheme="minorHAnsi"/>
          <w:b/>
        </w:rPr>
      </w:pPr>
    </w:p>
    <w:p w14:paraId="6C67B556" w14:textId="72B572FA" w:rsidR="001A63D1" w:rsidRPr="00E82FC6" w:rsidRDefault="00E82FC6" w:rsidP="002B4F41">
      <w:pPr>
        <w:pStyle w:val="xmsonormal"/>
        <w:ind w:firstLine="360"/>
        <w:rPr>
          <w:rFonts w:asciiTheme="minorHAnsi" w:hAnsiTheme="minorHAnsi" w:cstheme="minorHAnsi"/>
          <w:b/>
        </w:rPr>
      </w:pPr>
      <w:r>
        <w:rPr>
          <w:rFonts w:asciiTheme="minorHAnsi" w:hAnsiTheme="minorHAnsi" w:cstheme="minorHAnsi"/>
          <w:b/>
        </w:rPr>
        <w:t xml:space="preserve">TERMS AND CONDITIONS </w:t>
      </w:r>
    </w:p>
    <w:p w14:paraId="2C962108" w14:textId="0844FE29" w:rsidR="00103FE3" w:rsidRDefault="00103FE3" w:rsidP="00103FE3">
      <w:pPr>
        <w:pStyle w:val="ListParagraph"/>
        <w:rPr>
          <w:color w:val="000000"/>
        </w:rPr>
      </w:pPr>
    </w:p>
    <w:p w14:paraId="06A13DE9" w14:textId="6CBCC975" w:rsidR="003B4967" w:rsidRDefault="00155A85" w:rsidP="00B83B99">
      <w:pPr>
        <w:pStyle w:val="ListParagraph"/>
        <w:widowControl/>
        <w:numPr>
          <w:ilvl w:val="0"/>
          <w:numId w:val="5"/>
        </w:numPr>
        <w:rPr>
          <w:color w:val="000000"/>
        </w:rPr>
      </w:pPr>
      <w:r>
        <w:rPr>
          <w:color w:val="000000"/>
        </w:rPr>
        <w:t xml:space="preserve">The total value of the incentive is capped as a one off </w:t>
      </w:r>
      <w:r w:rsidR="0067762F">
        <w:rPr>
          <w:color w:val="000000"/>
        </w:rPr>
        <w:t xml:space="preserve">sum </w:t>
      </w:r>
      <w:r w:rsidR="00C54550">
        <w:rPr>
          <w:color w:val="000000"/>
        </w:rPr>
        <w:t xml:space="preserve">which </w:t>
      </w:r>
      <w:r w:rsidRPr="008F16F5">
        <w:rPr>
          <w:color w:val="000000"/>
        </w:rPr>
        <w:t xml:space="preserve">will be </w:t>
      </w:r>
      <w:r w:rsidR="008F16F5">
        <w:rPr>
          <w:color w:val="000000"/>
        </w:rPr>
        <w:t xml:space="preserve">made </w:t>
      </w:r>
      <w:r w:rsidR="00E969A8" w:rsidRPr="008F16F5">
        <w:rPr>
          <w:color w:val="000000"/>
        </w:rPr>
        <w:t xml:space="preserve">available by way of </w:t>
      </w:r>
      <w:r w:rsidRPr="008F16F5">
        <w:rPr>
          <w:color w:val="000000"/>
        </w:rPr>
        <w:t>deduct</w:t>
      </w:r>
      <w:r w:rsidR="00E969A8" w:rsidRPr="008F16F5">
        <w:rPr>
          <w:color w:val="000000"/>
        </w:rPr>
        <w:t>ion</w:t>
      </w:r>
      <w:r w:rsidRPr="008F16F5">
        <w:rPr>
          <w:color w:val="000000"/>
        </w:rPr>
        <w:t xml:space="preserve"> from monies due at completion of the purchase</w:t>
      </w:r>
      <w:r w:rsidR="003B4967">
        <w:rPr>
          <w:color w:val="000000"/>
        </w:rPr>
        <w:t>,</w:t>
      </w:r>
      <w:r w:rsidR="00ED5BCB">
        <w:rPr>
          <w:color w:val="000000"/>
        </w:rPr>
        <w:t xml:space="preserve"> this varies on each development</w:t>
      </w:r>
      <w:r w:rsidR="003B4967">
        <w:rPr>
          <w:color w:val="000000"/>
        </w:rPr>
        <w:t xml:space="preserve"> as detailed below:</w:t>
      </w:r>
    </w:p>
    <w:p w14:paraId="2189791A" w14:textId="77777777" w:rsidR="00B83B99" w:rsidRPr="00B83B99" w:rsidRDefault="00B83B99" w:rsidP="00B83B99">
      <w:pPr>
        <w:pStyle w:val="ListParagraph"/>
        <w:widowControl/>
        <w:ind w:left="720"/>
        <w:rPr>
          <w:color w:val="000000"/>
        </w:rPr>
      </w:pPr>
    </w:p>
    <w:tbl>
      <w:tblPr>
        <w:tblStyle w:val="TableGrid"/>
        <w:tblW w:w="9640" w:type="dxa"/>
        <w:jc w:val="center"/>
        <w:tblLook w:val="04A0" w:firstRow="1" w:lastRow="0" w:firstColumn="1" w:lastColumn="0" w:noHBand="0" w:noVBand="1"/>
      </w:tblPr>
      <w:tblGrid>
        <w:gridCol w:w="1560"/>
        <w:gridCol w:w="5098"/>
        <w:gridCol w:w="2982"/>
      </w:tblGrid>
      <w:tr w:rsidR="00DF4454" w14:paraId="2009FDCC" w14:textId="77777777" w:rsidTr="00434AF8">
        <w:trPr>
          <w:jc w:val="center"/>
        </w:trPr>
        <w:tc>
          <w:tcPr>
            <w:tcW w:w="1560" w:type="dxa"/>
            <w:shd w:val="clear" w:color="auto" w:fill="D9D9D9" w:themeFill="background1" w:themeFillShade="D9"/>
          </w:tcPr>
          <w:p w14:paraId="7065C825" w14:textId="3980803B" w:rsidR="00DF4454" w:rsidRPr="00434AF8" w:rsidRDefault="00DF4454" w:rsidP="0067762F">
            <w:pPr>
              <w:widowControl/>
              <w:rPr>
                <w:b/>
                <w:bCs/>
                <w:color w:val="000000"/>
                <w:sz w:val="19"/>
                <w:szCs w:val="19"/>
                <w:u w:val="single"/>
              </w:rPr>
            </w:pPr>
            <w:r w:rsidRPr="00434AF8">
              <w:rPr>
                <w:b/>
                <w:bCs/>
                <w:color w:val="000000"/>
                <w:sz w:val="19"/>
                <w:szCs w:val="19"/>
                <w:u w:val="single"/>
              </w:rPr>
              <w:t>Development:</w:t>
            </w:r>
          </w:p>
        </w:tc>
        <w:tc>
          <w:tcPr>
            <w:tcW w:w="5098" w:type="dxa"/>
            <w:shd w:val="clear" w:color="auto" w:fill="D9D9D9" w:themeFill="background1" w:themeFillShade="D9"/>
          </w:tcPr>
          <w:p w14:paraId="0BBC1560" w14:textId="410C57BA" w:rsidR="00DF4454" w:rsidRPr="00434AF8" w:rsidRDefault="00DF4454" w:rsidP="0067762F">
            <w:pPr>
              <w:widowControl/>
              <w:rPr>
                <w:b/>
                <w:bCs/>
                <w:color w:val="000000"/>
                <w:sz w:val="19"/>
                <w:szCs w:val="19"/>
                <w:u w:val="single"/>
              </w:rPr>
            </w:pPr>
            <w:r w:rsidRPr="00434AF8">
              <w:rPr>
                <w:b/>
                <w:bCs/>
                <w:color w:val="000000"/>
                <w:sz w:val="19"/>
                <w:szCs w:val="19"/>
                <w:u w:val="single"/>
              </w:rPr>
              <w:t>Incentive available:</w:t>
            </w:r>
          </w:p>
        </w:tc>
        <w:tc>
          <w:tcPr>
            <w:tcW w:w="2982" w:type="dxa"/>
            <w:shd w:val="clear" w:color="auto" w:fill="D9D9D9" w:themeFill="background1" w:themeFillShade="D9"/>
          </w:tcPr>
          <w:p w14:paraId="498CC6F0" w14:textId="241F0FC5" w:rsidR="00DF4454" w:rsidRPr="00434AF8" w:rsidRDefault="00DF4454" w:rsidP="0067762F">
            <w:pPr>
              <w:widowControl/>
              <w:rPr>
                <w:b/>
                <w:bCs/>
                <w:color w:val="000000"/>
                <w:sz w:val="19"/>
                <w:szCs w:val="19"/>
                <w:u w:val="single"/>
              </w:rPr>
            </w:pPr>
            <w:r w:rsidRPr="00434AF8">
              <w:rPr>
                <w:b/>
                <w:bCs/>
                <w:color w:val="000000"/>
                <w:sz w:val="19"/>
                <w:szCs w:val="19"/>
                <w:u w:val="single"/>
              </w:rPr>
              <w:t>Exchange deadline:</w:t>
            </w:r>
          </w:p>
        </w:tc>
      </w:tr>
      <w:tr w:rsidR="00DF4454" w14:paraId="5A8A0C41" w14:textId="77777777" w:rsidTr="00434AF8">
        <w:trPr>
          <w:jc w:val="center"/>
        </w:trPr>
        <w:tc>
          <w:tcPr>
            <w:tcW w:w="1560" w:type="dxa"/>
            <w:vAlign w:val="center"/>
          </w:tcPr>
          <w:p w14:paraId="66B977A6" w14:textId="1436245F" w:rsidR="00DF4454" w:rsidRPr="00434AF8" w:rsidRDefault="00B83B99" w:rsidP="0067762F">
            <w:pPr>
              <w:widowControl/>
              <w:rPr>
                <w:b/>
                <w:bCs/>
                <w:color w:val="000000"/>
                <w:sz w:val="19"/>
                <w:szCs w:val="19"/>
              </w:rPr>
            </w:pPr>
            <w:r w:rsidRPr="00434AF8">
              <w:rPr>
                <w:b/>
                <w:bCs/>
                <w:color w:val="000000"/>
                <w:sz w:val="19"/>
                <w:szCs w:val="19"/>
              </w:rPr>
              <w:t>Elephant Park</w:t>
            </w:r>
          </w:p>
        </w:tc>
        <w:tc>
          <w:tcPr>
            <w:tcW w:w="5098" w:type="dxa"/>
            <w:vAlign w:val="center"/>
          </w:tcPr>
          <w:p w14:paraId="0287044D" w14:textId="77777777" w:rsidR="004F596D" w:rsidRDefault="004F596D" w:rsidP="0067762F">
            <w:pPr>
              <w:widowControl/>
              <w:rPr>
                <w:sz w:val="19"/>
                <w:szCs w:val="19"/>
                <w:lang w:eastAsia="en-GB"/>
              </w:rPr>
            </w:pPr>
          </w:p>
          <w:p w14:paraId="336049E6" w14:textId="1CC9D407" w:rsidR="004F596D" w:rsidRDefault="004F596D" w:rsidP="0067762F">
            <w:pPr>
              <w:widowControl/>
              <w:rPr>
                <w:color w:val="000000"/>
                <w:sz w:val="19"/>
                <w:szCs w:val="19"/>
              </w:rPr>
            </w:pPr>
            <w:bookmarkStart w:id="0" w:name="_GoBack"/>
            <w:bookmarkEnd w:id="0"/>
            <w:r>
              <w:rPr>
                <w:color w:val="000000"/>
                <w:sz w:val="19"/>
                <w:szCs w:val="19"/>
              </w:rPr>
              <w:t>£</w:t>
            </w:r>
            <w:r w:rsidR="00134CAC">
              <w:rPr>
                <w:color w:val="000000"/>
                <w:sz w:val="19"/>
                <w:szCs w:val="19"/>
              </w:rPr>
              <w:t>7,5</w:t>
            </w:r>
            <w:r>
              <w:rPr>
                <w:color w:val="000000"/>
                <w:sz w:val="19"/>
                <w:szCs w:val="19"/>
              </w:rPr>
              <w:t xml:space="preserve">00 towards buying costs on plots </w:t>
            </w:r>
            <w:r w:rsidR="000042CD">
              <w:rPr>
                <w:color w:val="000000"/>
                <w:sz w:val="19"/>
                <w:szCs w:val="19"/>
              </w:rPr>
              <w:t>H4.F.04.06, H5.C.01.02, H5.C.02.03, H5.C.02.04, H5.C.03.01, H5.C.03.02, H5.C.03.03, H5.C.03.04, H5.C.04.01, H5.C.04.02, H5.C.04.03, H5.C.05.01, H5.C.05.02, H5.C.0</w:t>
            </w:r>
            <w:r w:rsidR="00417070">
              <w:rPr>
                <w:color w:val="000000"/>
                <w:sz w:val="19"/>
                <w:szCs w:val="19"/>
              </w:rPr>
              <w:t>6.02</w:t>
            </w:r>
          </w:p>
          <w:p w14:paraId="74300C5E" w14:textId="10BCBB0B" w:rsidR="004F596D" w:rsidRPr="00434AF8" w:rsidRDefault="004F596D" w:rsidP="0067762F">
            <w:pPr>
              <w:widowControl/>
              <w:rPr>
                <w:color w:val="000000"/>
                <w:sz w:val="19"/>
                <w:szCs w:val="19"/>
              </w:rPr>
            </w:pPr>
          </w:p>
        </w:tc>
        <w:tc>
          <w:tcPr>
            <w:tcW w:w="2982" w:type="dxa"/>
            <w:vAlign w:val="center"/>
          </w:tcPr>
          <w:p w14:paraId="72577605" w14:textId="0EB77DBE" w:rsidR="00DF4454" w:rsidRPr="00434AF8" w:rsidRDefault="00B83B99" w:rsidP="0067762F">
            <w:pPr>
              <w:widowControl/>
              <w:rPr>
                <w:color w:val="000000"/>
                <w:sz w:val="19"/>
                <w:szCs w:val="19"/>
              </w:rPr>
            </w:pPr>
            <w:r w:rsidRPr="00434AF8">
              <w:rPr>
                <w:color w:val="000000"/>
                <w:sz w:val="19"/>
                <w:szCs w:val="19"/>
              </w:rPr>
              <w:t>Exchange must take place within 21 days with completion within 5 days</w:t>
            </w:r>
          </w:p>
        </w:tc>
      </w:tr>
    </w:tbl>
    <w:p w14:paraId="67D08A10" w14:textId="77777777" w:rsidR="002B4F41" w:rsidRPr="0067762F" w:rsidRDefault="002B4F41" w:rsidP="0067762F">
      <w:pPr>
        <w:widowControl/>
        <w:rPr>
          <w:color w:val="000000"/>
        </w:rPr>
      </w:pPr>
    </w:p>
    <w:p w14:paraId="01EDE4DB" w14:textId="63521C2A" w:rsidR="005A3A2F" w:rsidRDefault="005A3A2F" w:rsidP="00103FE3">
      <w:pPr>
        <w:pStyle w:val="ListParagraph"/>
        <w:widowControl/>
        <w:numPr>
          <w:ilvl w:val="0"/>
          <w:numId w:val="5"/>
        </w:numPr>
        <w:rPr>
          <w:color w:val="000000"/>
        </w:rPr>
      </w:pPr>
      <w:r>
        <w:rPr>
          <w:color w:val="000000"/>
        </w:rPr>
        <w:t>Due to lender restrictions the value of the incentive must not exceed 5% of the share value being purchased</w:t>
      </w:r>
    </w:p>
    <w:p w14:paraId="7BB6D3DB" w14:textId="77777777" w:rsidR="005A3A2F" w:rsidRDefault="005A3A2F" w:rsidP="005A3A2F">
      <w:pPr>
        <w:pStyle w:val="ListParagraph"/>
        <w:widowControl/>
        <w:ind w:left="720"/>
        <w:rPr>
          <w:color w:val="000000"/>
        </w:rPr>
      </w:pPr>
    </w:p>
    <w:p w14:paraId="167DEEC6" w14:textId="1E714D7F" w:rsidR="00103FE3" w:rsidRDefault="00103FE3" w:rsidP="00103FE3">
      <w:pPr>
        <w:pStyle w:val="ListParagraph"/>
        <w:widowControl/>
        <w:numPr>
          <w:ilvl w:val="0"/>
          <w:numId w:val="5"/>
        </w:numPr>
        <w:rPr>
          <w:color w:val="000000"/>
        </w:rPr>
      </w:pPr>
      <w:r>
        <w:rPr>
          <w:color w:val="000000"/>
        </w:rPr>
        <w:t>L&amp;Q will not be responsible for direct payments to any lenders or third parties and all other monthly commitment charges will remain as advised. It is the responsibility of the purchasers to pay all monthly commitment charges, including payment of service charges, ground rents and mortgage payments.</w:t>
      </w:r>
    </w:p>
    <w:p w14:paraId="783DE49D" w14:textId="77777777" w:rsidR="00103FE3" w:rsidRDefault="00103FE3" w:rsidP="00103FE3">
      <w:pPr>
        <w:pStyle w:val="ListParagraph"/>
        <w:rPr>
          <w:color w:val="000000"/>
        </w:rPr>
      </w:pPr>
    </w:p>
    <w:p w14:paraId="79784E32" w14:textId="7688B00A" w:rsidR="00103FE3" w:rsidRDefault="00103FE3" w:rsidP="00103FE3">
      <w:pPr>
        <w:pStyle w:val="ListParagraph"/>
        <w:widowControl/>
        <w:numPr>
          <w:ilvl w:val="0"/>
          <w:numId w:val="5"/>
        </w:numPr>
        <w:rPr>
          <w:color w:val="000000"/>
        </w:rPr>
      </w:pPr>
      <w:r>
        <w:rPr>
          <w:color w:val="000000"/>
        </w:rPr>
        <w:t>Intention to take advantage of this offer must be disclosed at the time of reserving the property before any other discount is applied and recorded on the Reservation Form.</w:t>
      </w:r>
      <w:r w:rsidR="00FB2A3D">
        <w:rPr>
          <w:color w:val="000000"/>
        </w:rPr>
        <w:t xml:space="preserve"> </w:t>
      </w:r>
    </w:p>
    <w:p w14:paraId="175CDB6A" w14:textId="77777777" w:rsidR="00103FE3" w:rsidRDefault="00103FE3" w:rsidP="00103FE3">
      <w:pPr>
        <w:rPr>
          <w:color w:val="000000"/>
        </w:rPr>
      </w:pPr>
    </w:p>
    <w:p w14:paraId="30BD827A" w14:textId="4417E57C" w:rsidR="0077405D" w:rsidRDefault="00FB2A3D" w:rsidP="0033282F">
      <w:pPr>
        <w:pStyle w:val="ListParagraph"/>
        <w:widowControl/>
        <w:numPr>
          <w:ilvl w:val="0"/>
          <w:numId w:val="5"/>
        </w:numPr>
        <w:rPr>
          <w:color w:val="000000"/>
        </w:rPr>
      </w:pPr>
      <w:r>
        <w:rPr>
          <w:color w:val="000000"/>
        </w:rPr>
        <w:t>Th</w:t>
      </w:r>
      <w:r w:rsidR="008F16F5">
        <w:rPr>
          <w:color w:val="000000"/>
        </w:rPr>
        <w:t>is offer</w:t>
      </w:r>
      <w:r w:rsidR="00103FE3" w:rsidRPr="00155A85">
        <w:rPr>
          <w:color w:val="000000"/>
        </w:rPr>
        <w:t xml:space="preserve"> is subject to status and availability and individual approval.</w:t>
      </w:r>
    </w:p>
    <w:p w14:paraId="133DB61C" w14:textId="77777777" w:rsidR="00C54550" w:rsidRPr="00C54550" w:rsidRDefault="00C54550" w:rsidP="00C54550">
      <w:pPr>
        <w:pStyle w:val="ListParagraph"/>
        <w:rPr>
          <w:color w:val="000000"/>
        </w:rPr>
      </w:pPr>
    </w:p>
    <w:p w14:paraId="63CB8F1A" w14:textId="1C9B81C0" w:rsidR="00C54550" w:rsidRDefault="00C54550" w:rsidP="0033282F">
      <w:pPr>
        <w:pStyle w:val="ListParagraph"/>
        <w:widowControl/>
        <w:numPr>
          <w:ilvl w:val="0"/>
          <w:numId w:val="5"/>
        </w:numPr>
        <w:rPr>
          <w:color w:val="000000"/>
        </w:rPr>
      </w:pPr>
      <w:r>
        <w:rPr>
          <w:color w:val="000000"/>
        </w:rPr>
        <w:t xml:space="preserve">This offer is available on </w:t>
      </w:r>
      <w:r w:rsidR="003C71B6">
        <w:rPr>
          <w:color w:val="000000"/>
        </w:rPr>
        <w:t xml:space="preserve">all reservations taken </w:t>
      </w:r>
      <w:r w:rsidR="00AE6813">
        <w:rPr>
          <w:color w:val="000000"/>
        </w:rPr>
        <w:t xml:space="preserve">on or before </w:t>
      </w:r>
      <w:r w:rsidR="00134CAC">
        <w:rPr>
          <w:color w:val="000000"/>
        </w:rPr>
        <w:t>31st</w:t>
      </w:r>
      <w:r w:rsidR="00AE6813">
        <w:rPr>
          <w:color w:val="000000"/>
        </w:rPr>
        <w:t xml:space="preserve"> Ju</w:t>
      </w:r>
      <w:r w:rsidR="00134CAC">
        <w:rPr>
          <w:color w:val="000000"/>
        </w:rPr>
        <w:t>ly</w:t>
      </w:r>
      <w:r w:rsidR="00EA7B18">
        <w:rPr>
          <w:color w:val="000000"/>
        </w:rPr>
        <w:t xml:space="preserve"> </w:t>
      </w:r>
      <w:r w:rsidR="00B83B99">
        <w:rPr>
          <w:color w:val="000000"/>
        </w:rPr>
        <w:t>202</w:t>
      </w:r>
      <w:r w:rsidR="00EA7B18">
        <w:rPr>
          <w:color w:val="000000"/>
        </w:rPr>
        <w:t>1</w:t>
      </w:r>
      <w:r w:rsidR="003C71B6">
        <w:rPr>
          <w:color w:val="000000"/>
        </w:rPr>
        <w:t xml:space="preserve"> inclusive</w:t>
      </w:r>
    </w:p>
    <w:p w14:paraId="7F75D58E" w14:textId="77777777" w:rsidR="00155A85" w:rsidRPr="00155A85" w:rsidRDefault="00155A85" w:rsidP="00155A85">
      <w:pPr>
        <w:widowControl/>
        <w:rPr>
          <w:color w:val="000000"/>
        </w:rPr>
      </w:pPr>
    </w:p>
    <w:p w14:paraId="66ACAE62" w14:textId="2920D018" w:rsidR="00103FE3" w:rsidRDefault="00103FE3" w:rsidP="00103FE3">
      <w:pPr>
        <w:pStyle w:val="ListParagraph"/>
        <w:widowControl/>
        <w:numPr>
          <w:ilvl w:val="0"/>
          <w:numId w:val="5"/>
        </w:numPr>
        <w:rPr>
          <w:color w:val="000000"/>
        </w:rPr>
      </w:pPr>
      <w:r>
        <w:rPr>
          <w:color w:val="000000"/>
        </w:rPr>
        <w:t>Offer cannot be used in conj</w:t>
      </w:r>
      <w:r w:rsidR="0077405D">
        <w:rPr>
          <w:color w:val="000000"/>
        </w:rPr>
        <w:t>unction with any other offer</w:t>
      </w:r>
      <w:r w:rsidR="000F309F">
        <w:rPr>
          <w:color w:val="000000"/>
        </w:rPr>
        <w:t>, discount or incentive</w:t>
      </w:r>
      <w:r w:rsidR="0077405D">
        <w:rPr>
          <w:color w:val="000000"/>
        </w:rPr>
        <w:t>.</w:t>
      </w:r>
    </w:p>
    <w:p w14:paraId="09AAE668" w14:textId="77777777" w:rsidR="00103FE3" w:rsidRPr="00103FE3" w:rsidRDefault="00103FE3" w:rsidP="00103FE3">
      <w:pPr>
        <w:pStyle w:val="ListParagraph"/>
        <w:rPr>
          <w:color w:val="000000"/>
        </w:rPr>
      </w:pPr>
    </w:p>
    <w:p w14:paraId="07548BB5" w14:textId="4A714F01" w:rsidR="007E3458" w:rsidRPr="006E78B4" w:rsidRDefault="00103FE3" w:rsidP="00DA55B6">
      <w:pPr>
        <w:pStyle w:val="ListParagraph"/>
        <w:widowControl/>
        <w:numPr>
          <w:ilvl w:val="0"/>
          <w:numId w:val="5"/>
        </w:numPr>
      </w:pPr>
      <w:r w:rsidRPr="006E78B4">
        <w:rPr>
          <w:color w:val="000000"/>
        </w:rPr>
        <w:t>Exchange of con</w:t>
      </w:r>
      <w:r w:rsidR="0077405D" w:rsidRPr="006E78B4">
        <w:rPr>
          <w:color w:val="000000"/>
        </w:rPr>
        <w:t xml:space="preserve">tracts must take place within </w:t>
      </w:r>
      <w:r w:rsidR="00B83B99">
        <w:rPr>
          <w:color w:val="000000"/>
        </w:rPr>
        <w:t>21</w:t>
      </w:r>
      <w:r w:rsidR="00AB06CB">
        <w:rPr>
          <w:color w:val="000000"/>
        </w:rPr>
        <w:t>-</w:t>
      </w:r>
      <w:r w:rsidR="00B83B99">
        <w:rPr>
          <w:color w:val="000000"/>
        </w:rPr>
        <w:t>28 days</w:t>
      </w:r>
      <w:r w:rsidRPr="006E78B4">
        <w:rPr>
          <w:color w:val="000000"/>
        </w:rPr>
        <w:t xml:space="preserve"> of the legal pack being issued, wi</w:t>
      </w:r>
      <w:r w:rsidR="00A16B02" w:rsidRPr="006E78B4">
        <w:rPr>
          <w:color w:val="000000"/>
        </w:rPr>
        <w:t>t</w:t>
      </w:r>
      <w:r w:rsidR="0077405D" w:rsidRPr="006E78B4">
        <w:rPr>
          <w:color w:val="000000"/>
        </w:rPr>
        <w:t xml:space="preserve">h completion </w:t>
      </w:r>
      <w:r w:rsidR="00155A85">
        <w:rPr>
          <w:color w:val="000000"/>
        </w:rPr>
        <w:t>on notice subject to handove</w:t>
      </w:r>
      <w:r w:rsidR="006E78B4">
        <w:rPr>
          <w:color w:val="000000"/>
        </w:rPr>
        <w:t>r</w:t>
      </w:r>
      <w:r w:rsidR="0041427A">
        <w:rPr>
          <w:color w:val="000000"/>
        </w:rPr>
        <w:t xml:space="preserve"> or within 5 working days of exchange if the property is ready for occupation</w:t>
      </w:r>
      <w:r w:rsidR="006E78B4">
        <w:rPr>
          <w:color w:val="000000"/>
        </w:rPr>
        <w:t>.</w:t>
      </w:r>
      <w:r w:rsidR="00B83B99">
        <w:rPr>
          <w:color w:val="000000"/>
        </w:rPr>
        <w:t xml:space="preserve"> Please see above table which indicates the deadline for each development.</w:t>
      </w:r>
    </w:p>
    <w:p w14:paraId="5806A604" w14:textId="639E4A95" w:rsidR="006E78B4" w:rsidRDefault="006E78B4" w:rsidP="006E78B4">
      <w:pPr>
        <w:widowControl/>
      </w:pPr>
    </w:p>
    <w:p w14:paraId="411826F4" w14:textId="0EA96B65" w:rsidR="007E3458" w:rsidRDefault="007E3458" w:rsidP="007E3458">
      <w:pPr>
        <w:pStyle w:val="ListParagraph"/>
        <w:widowControl/>
        <w:numPr>
          <w:ilvl w:val="0"/>
          <w:numId w:val="5"/>
        </w:numPr>
      </w:pPr>
      <w:r>
        <w:t>Purchasers are not restricted from instructing solicitors or mortgage brokers of their own choice, however th</w:t>
      </w:r>
      <w:r w:rsidR="00FB2A3D">
        <w:t>e legal fee contribution</w:t>
      </w:r>
      <w:r>
        <w:t xml:space="preserve"> incentive is only applicable to those purchasers who instruct a solicitor or mortgage broker from L&amp;Q’s panel and meet the above criteria.</w:t>
      </w:r>
    </w:p>
    <w:p w14:paraId="229A9C5D" w14:textId="77777777" w:rsidR="00256B5A" w:rsidRDefault="00256B5A" w:rsidP="00256B5A">
      <w:pPr>
        <w:pStyle w:val="ListParagraph"/>
      </w:pPr>
    </w:p>
    <w:p w14:paraId="31A01BDA" w14:textId="233F3983" w:rsidR="003C71B6" w:rsidRDefault="00256B5A" w:rsidP="0067762F">
      <w:pPr>
        <w:pStyle w:val="ListParagraph"/>
        <w:widowControl/>
        <w:numPr>
          <w:ilvl w:val="0"/>
          <w:numId w:val="5"/>
        </w:numPr>
      </w:pPr>
      <w:r>
        <w:t>L&amp;Q reserve the right to remove this offer at any time.</w:t>
      </w:r>
    </w:p>
    <w:p w14:paraId="076203D7" w14:textId="5639FFA8" w:rsidR="003C71B6" w:rsidRDefault="003C71B6" w:rsidP="0067762F">
      <w:pPr>
        <w:widowControl/>
      </w:pPr>
    </w:p>
    <w:p w14:paraId="7AF0A5DB" w14:textId="77777777" w:rsidR="00FB2A3D" w:rsidRDefault="00FB2A3D" w:rsidP="00E969A8">
      <w:pPr>
        <w:pStyle w:val="Header"/>
        <w:rPr>
          <w:rFonts w:ascii="Calibri" w:hAnsi="Calibri" w:cs="Corisande-Light"/>
          <w:sz w:val="12"/>
          <w:szCs w:val="14"/>
        </w:rPr>
      </w:pPr>
    </w:p>
    <w:sectPr w:rsidR="00FB2A3D" w:rsidSect="00AB06CB">
      <w:headerReference w:type="default" r:id="rId8"/>
      <w:footerReference w:type="default" r:id="rId9"/>
      <w:pgSz w:w="11940" w:h="16860"/>
      <w:pgMar w:top="720" w:right="720" w:bottom="720" w:left="720" w:header="0"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A1FAE" w14:textId="77777777" w:rsidR="00595A8B" w:rsidRDefault="00595A8B" w:rsidP="005A4531">
      <w:r>
        <w:separator/>
      </w:r>
    </w:p>
  </w:endnote>
  <w:endnote w:type="continuationSeparator" w:id="0">
    <w:p w14:paraId="40EEF0DD" w14:textId="77777777" w:rsidR="00595A8B" w:rsidRDefault="00595A8B" w:rsidP="005A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erpetua">
    <w:altName w:val="Perpetua"/>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isand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D14A" w14:textId="23A2B99E" w:rsidR="00B57A16" w:rsidRPr="00E922AE" w:rsidRDefault="00B57A16" w:rsidP="00B57A16">
    <w:pPr>
      <w:jc w:val="center"/>
      <w:rPr>
        <w:rFonts w:ascii="Calibri" w:hAnsi="Calibri"/>
        <w:b/>
        <w:sz w:val="28"/>
        <w:szCs w:val="28"/>
      </w:rPr>
    </w:pPr>
    <w:r w:rsidRPr="00E922AE">
      <w:rPr>
        <w:rFonts w:ascii="Calibri" w:hAnsi="Calibri"/>
        <w:b/>
        <w:sz w:val="28"/>
        <w:szCs w:val="28"/>
      </w:rPr>
      <w:t>https://lqhomes.com/</w:t>
    </w:r>
  </w:p>
  <w:p w14:paraId="29B12327" w14:textId="41901175" w:rsidR="00505455" w:rsidRDefault="001F69EF" w:rsidP="00FB2A3D">
    <w:pPr>
      <w:pStyle w:val="Footer"/>
      <w:jc w:val="center"/>
      <w:rPr>
        <w:rFonts w:asciiTheme="minorHAnsi" w:hAnsiTheme="minorHAnsi"/>
      </w:rPr>
    </w:pPr>
    <w:r>
      <w:rPr>
        <w:noProof/>
        <w:color w:val="1F497D"/>
      </w:rPr>
      <w:drawing>
        <wp:inline distT="0" distB="0" distL="0" distR="0" wp14:anchorId="69525FEE" wp14:editId="183726D9">
          <wp:extent cx="3095625" cy="419100"/>
          <wp:effectExtent l="0" t="0" r="9525" b="0"/>
          <wp:docPr id="2" name="Picture 2" descr="Description: Email signatur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ail signature graphi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5625" cy="419100"/>
                  </a:xfrm>
                  <a:prstGeom prst="rect">
                    <a:avLst/>
                  </a:prstGeom>
                  <a:noFill/>
                  <a:ln>
                    <a:noFill/>
                  </a:ln>
                </pic:spPr>
              </pic:pic>
            </a:graphicData>
          </a:graphic>
        </wp:inline>
      </w:drawing>
    </w:r>
  </w:p>
  <w:p w14:paraId="4EFA8EE5" w14:textId="77777777" w:rsidR="00AB06CB" w:rsidRDefault="00AB06CB" w:rsidP="00FB2A3D">
    <w:pPr>
      <w:pStyle w:val="Footer"/>
      <w:jc w:val="center"/>
      <w:rPr>
        <w:rFonts w:asciiTheme="minorHAnsi" w:hAnsiTheme="minorHAnsi"/>
      </w:rPr>
    </w:pPr>
  </w:p>
  <w:p w14:paraId="4E6C045B" w14:textId="77777777" w:rsidR="00AB06CB" w:rsidRPr="000A63DE" w:rsidRDefault="00AB06CB" w:rsidP="00AB06CB">
    <w:pPr>
      <w:pStyle w:val="Header"/>
      <w:jc w:val="center"/>
      <w:rPr>
        <w:rFonts w:ascii="Calibri" w:hAnsi="Calibri" w:cs="Corisande-Light"/>
        <w:sz w:val="14"/>
        <w:szCs w:val="14"/>
      </w:rPr>
    </w:pPr>
    <w:r w:rsidRPr="000A63DE">
      <w:rPr>
        <w:rFonts w:ascii="Calibri" w:hAnsi="Calibri" w:cs="Corisande-Light"/>
        <w:sz w:val="14"/>
        <w:szCs w:val="14"/>
      </w:rPr>
      <w:t>Your home is at risk if you fail to keep up repayments on a mortgage, rent or other loan secured on it.</w:t>
    </w:r>
  </w:p>
  <w:p w14:paraId="20EFE429" w14:textId="77777777" w:rsidR="00AB06CB" w:rsidRPr="000A63DE" w:rsidRDefault="00AB06CB" w:rsidP="00AB06CB">
    <w:pPr>
      <w:pStyle w:val="Header"/>
      <w:jc w:val="center"/>
      <w:rPr>
        <w:rFonts w:ascii="Calibri" w:hAnsi="Calibri"/>
        <w:sz w:val="14"/>
        <w:szCs w:val="14"/>
      </w:rPr>
    </w:pPr>
    <w:r w:rsidRPr="000A63DE">
      <w:rPr>
        <w:rFonts w:ascii="Calibri" w:hAnsi="Calibri" w:cs="Corisande-Light"/>
        <w:sz w:val="14"/>
        <w:szCs w:val="14"/>
      </w:rPr>
      <w:t>Please make sure you can afford the repayments before you take out a mortgage.</w:t>
    </w:r>
  </w:p>
  <w:p w14:paraId="2E10CF37" w14:textId="77777777" w:rsidR="00AB06CB" w:rsidRPr="000A63DE" w:rsidRDefault="00AB06CB" w:rsidP="00AB06CB">
    <w:pPr>
      <w:pStyle w:val="Footer"/>
      <w:tabs>
        <w:tab w:val="clear" w:pos="8306"/>
        <w:tab w:val="right" w:pos="9000"/>
      </w:tabs>
      <w:ind w:left="-900" w:right="-694"/>
      <w:jc w:val="center"/>
      <w:rPr>
        <w:rFonts w:ascii="Calibri" w:hAnsi="Calibri" w:cs="Arial"/>
        <w:sz w:val="14"/>
        <w:szCs w:val="14"/>
      </w:rPr>
    </w:pPr>
    <w:r w:rsidRPr="000A63DE">
      <w:rPr>
        <w:rFonts w:ascii="Calibri" w:hAnsi="Calibri" w:cs="Arial"/>
        <w:sz w:val="14"/>
        <w:szCs w:val="14"/>
      </w:rPr>
      <w:t>London &amp; Quadrant Housing Trust is registered with the FSA as an Industrial and Provident Society (30441R)</w:t>
    </w:r>
  </w:p>
  <w:p w14:paraId="55EA2E0C" w14:textId="77777777" w:rsidR="00AB06CB" w:rsidRPr="00103FE3" w:rsidRDefault="00AB06CB" w:rsidP="00AB06CB">
    <w:pPr>
      <w:pStyle w:val="Footer"/>
      <w:tabs>
        <w:tab w:val="clear" w:pos="8306"/>
        <w:tab w:val="right" w:pos="9000"/>
      </w:tabs>
      <w:ind w:left="-900" w:right="-694"/>
      <w:jc w:val="center"/>
      <w:rPr>
        <w:rFonts w:asciiTheme="minorHAnsi" w:hAnsiTheme="minorHAnsi" w:cstheme="minorHAnsi"/>
        <w:sz w:val="14"/>
        <w:szCs w:val="14"/>
      </w:rPr>
    </w:pPr>
    <w:r w:rsidRPr="00103FE3">
      <w:rPr>
        <w:rFonts w:asciiTheme="minorHAnsi" w:hAnsiTheme="minorHAnsi" w:cstheme="minorHAnsi"/>
        <w:sz w:val="14"/>
        <w:szCs w:val="14"/>
      </w:rPr>
      <w:t>and the Housing Corporation (LHO115) and is an exempt charity</w:t>
    </w:r>
  </w:p>
  <w:p w14:paraId="77A34A73" w14:textId="47157FBE" w:rsidR="00AB06CB" w:rsidRPr="00AB06CB" w:rsidRDefault="00AB06CB" w:rsidP="00AB06CB">
    <w:pPr>
      <w:pStyle w:val="Footer"/>
      <w:tabs>
        <w:tab w:val="clear" w:pos="8306"/>
        <w:tab w:val="right" w:pos="9000"/>
      </w:tabs>
      <w:ind w:left="-900" w:right="-694"/>
      <w:jc w:val="center"/>
      <w:rPr>
        <w:rFonts w:asciiTheme="minorHAnsi" w:hAnsiTheme="minorHAnsi" w:cstheme="minorHAnsi"/>
        <w:sz w:val="14"/>
        <w:szCs w:val="14"/>
        <w:lang w:val="en"/>
      </w:rPr>
    </w:pPr>
    <w:r w:rsidRPr="00103FE3">
      <w:rPr>
        <w:rFonts w:asciiTheme="minorHAnsi" w:hAnsiTheme="minorHAnsi" w:cstheme="minorHAnsi"/>
        <w:sz w:val="14"/>
        <w:szCs w:val="14"/>
      </w:rPr>
      <w:t xml:space="preserve">Registered office: </w:t>
    </w:r>
    <w:r w:rsidRPr="00103FE3">
      <w:rPr>
        <w:rFonts w:asciiTheme="minorHAnsi" w:hAnsiTheme="minorHAnsi" w:cstheme="minorHAnsi"/>
        <w:sz w:val="14"/>
        <w:szCs w:val="14"/>
        <w:lang w:val="en"/>
      </w:rPr>
      <w:t xml:space="preserve">29-35 West Ham </w:t>
    </w:r>
    <w:r w:rsidRPr="00103FE3">
      <w:rPr>
        <w:rStyle w:val="Strong"/>
        <w:rFonts w:asciiTheme="minorHAnsi" w:hAnsiTheme="minorHAnsi" w:cstheme="minorHAnsi"/>
        <w:b w:val="0"/>
        <w:sz w:val="14"/>
        <w:szCs w:val="14"/>
        <w:lang w:val="en"/>
      </w:rPr>
      <w:t>Lane</w:t>
    </w:r>
    <w:r w:rsidRPr="00103FE3">
      <w:rPr>
        <w:rFonts w:asciiTheme="minorHAnsi" w:hAnsiTheme="minorHAnsi" w:cstheme="minorHAnsi"/>
        <w:sz w:val="14"/>
        <w:szCs w:val="14"/>
        <w:lang w:val="en"/>
      </w:rPr>
      <w:t>, Stratford, London, E15 4P</w:t>
    </w:r>
    <w:r>
      <w:rPr>
        <w:rFonts w:asciiTheme="minorHAnsi" w:hAnsiTheme="minorHAnsi" w:cstheme="minorHAnsi"/>
        <w:sz w:val="14"/>
        <w:szCs w:val="14"/>
        <w:lang w:val="en"/>
      </w:rPr>
      <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E5736" w14:textId="77777777" w:rsidR="00595A8B" w:rsidRDefault="00595A8B" w:rsidP="005A4531">
      <w:r>
        <w:separator/>
      </w:r>
    </w:p>
  </w:footnote>
  <w:footnote w:type="continuationSeparator" w:id="0">
    <w:p w14:paraId="238ED8BA" w14:textId="77777777" w:rsidR="00595A8B" w:rsidRDefault="00595A8B" w:rsidP="005A4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52E0" w14:textId="77777777" w:rsidR="00E60520" w:rsidRDefault="00E60520">
    <w:pPr>
      <w:pStyle w:val="Header"/>
    </w:pPr>
  </w:p>
  <w:p w14:paraId="62453F7A" w14:textId="77777777" w:rsidR="007116FC" w:rsidRDefault="007116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2B21"/>
    <w:multiLevelType w:val="hybridMultilevel"/>
    <w:tmpl w:val="547C9A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B12082A"/>
    <w:multiLevelType w:val="hybridMultilevel"/>
    <w:tmpl w:val="168C4E92"/>
    <w:lvl w:ilvl="0" w:tplc="71B4793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3064D7"/>
    <w:multiLevelType w:val="hybridMultilevel"/>
    <w:tmpl w:val="D2243CE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D6D4376"/>
    <w:multiLevelType w:val="hybridMultilevel"/>
    <w:tmpl w:val="547C9A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F08592C"/>
    <w:multiLevelType w:val="hybridMultilevel"/>
    <w:tmpl w:val="66DC954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423DC8"/>
    <w:multiLevelType w:val="hybridMultilevel"/>
    <w:tmpl w:val="D84C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954CDD"/>
    <w:multiLevelType w:val="hybridMultilevel"/>
    <w:tmpl w:val="C25A8458"/>
    <w:lvl w:ilvl="0" w:tplc="B238A92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1D25B77"/>
    <w:multiLevelType w:val="hybridMultilevel"/>
    <w:tmpl w:val="3E0A6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7D48AF"/>
    <w:multiLevelType w:val="hybridMultilevel"/>
    <w:tmpl w:val="59C07A3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8"/>
  </w:num>
  <w:num w:numId="3">
    <w:abstractNumId w:val="2"/>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B5B"/>
    <w:rsid w:val="0000012C"/>
    <w:rsid w:val="000042CD"/>
    <w:rsid w:val="0001709F"/>
    <w:rsid w:val="0003510F"/>
    <w:rsid w:val="0004200F"/>
    <w:rsid w:val="00045E58"/>
    <w:rsid w:val="00055F3A"/>
    <w:rsid w:val="000933C4"/>
    <w:rsid w:val="000A63DE"/>
    <w:rsid w:val="000B557E"/>
    <w:rsid w:val="000D215B"/>
    <w:rsid w:val="000D3522"/>
    <w:rsid w:val="000D3B5B"/>
    <w:rsid w:val="000D4163"/>
    <w:rsid w:val="000D7E86"/>
    <w:rsid w:val="000E11DB"/>
    <w:rsid w:val="000E6698"/>
    <w:rsid w:val="000F0355"/>
    <w:rsid w:val="000F309F"/>
    <w:rsid w:val="00103FE3"/>
    <w:rsid w:val="00121A8E"/>
    <w:rsid w:val="0013183D"/>
    <w:rsid w:val="00134CAC"/>
    <w:rsid w:val="001368E5"/>
    <w:rsid w:val="001557BB"/>
    <w:rsid w:val="00155A85"/>
    <w:rsid w:val="001A63D1"/>
    <w:rsid w:val="001B3B25"/>
    <w:rsid w:val="001B6269"/>
    <w:rsid w:val="001C1D16"/>
    <w:rsid w:val="001C5534"/>
    <w:rsid w:val="001E3118"/>
    <w:rsid w:val="001F69EF"/>
    <w:rsid w:val="00200984"/>
    <w:rsid w:val="00212236"/>
    <w:rsid w:val="00212297"/>
    <w:rsid w:val="00227826"/>
    <w:rsid w:val="00256B5A"/>
    <w:rsid w:val="00263294"/>
    <w:rsid w:val="002667F4"/>
    <w:rsid w:val="00270CAF"/>
    <w:rsid w:val="00271C89"/>
    <w:rsid w:val="002A05F8"/>
    <w:rsid w:val="002A122E"/>
    <w:rsid w:val="002B4546"/>
    <w:rsid w:val="002B4F41"/>
    <w:rsid w:val="002C1C44"/>
    <w:rsid w:val="002C462C"/>
    <w:rsid w:val="002D59AC"/>
    <w:rsid w:val="002F433B"/>
    <w:rsid w:val="003208BA"/>
    <w:rsid w:val="00331CB6"/>
    <w:rsid w:val="0034258F"/>
    <w:rsid w:val="00352B10"/>
    <w:rsid w:val="003609B8"/>
    <w:rsid w:val="003722C0"/>
    <w:rsid w:val="0037429F"/>
    <w:rsid w:val="00375BBB"/>
    <w:rsid w:val="00381A28"/>
    <w:rsid w:val="003826B3"/>
    <w:rsid w:val="003B4967"/>
    <w:rsid w:val="003C34FE"/>
    <w:rsid w:val="003C71B6"/>
    <w:rsid w:val="003D1E9F"/>
    <w:rsid w:val="003F214C"/>
    <w:rsid w:val="003F4EC6"/>
    <w:rsid w:val="0041427A"/>
    <w:rsid w:val="00417070"/>
    <w:rsid w:val="00434AF8"/>
    <w:rsid w:val="004367A9"/>
    <w:rsid w:val="004629D2"/>
    <w:rsid w:val="00465B08"/>
    <w:rsid w:val="00480ED0"/>
    <w:rsid w:val="004812A9"/>
    <w:rsid w:val="00494D62"/>
    <w:rsid w:val="004B3A46"/>
    <w:rsid w:val="004B5D74"/>
    <w:rsid w:val="004C1B86"/>
    <w:rsid w:val="004F596D"/>
    <w:rsid w:val="00502D82"/>
    <w:rsid w:val="00503FCB"/>
    <w:rsid w:val="00505336"/>
    <w:rsid w:val="00505455"/>
    <w:rsid w:val="00512D8B"/>
    <w:rsid w:val="0053715A"/>
    <w:rsid w:val="005405A5"/>
    <w:rsid w:val="00552410"/>
    <w:rsid w:val="00563C93"/>
    <w:rsid w:val="00565908"/>
    <w:rsid w:val="00584E7F"/>
    <w:rsid w:val="00595A8B"/>
    <w:rsid w:val="005A3A2F"/>
    <w:rsid w:val="005A4531"/>
    <w:rsid w:val="005B4674"/>
    <w:rsid w:val="005C5E8C"/>
    <w:rsid w:val="005E43CF"/>
    <w:rsid w:val="005E4B7C"/>
    <w:rsid w:val="005F2FA1"/>
    <w:rsid w:val="005F657C"/>
    <w:rsid w:val="00616837"/>
    <w:rsid w:val="00616DBC"/>
    <w:rsid w:val="00624BCA"/>
    <w:rsid w:val="006330CB"/>
    <w:rsid w:val="00643446"/>
    <w:rsid w:val="00664DC9"/>
    <w:rsid w:val="00664F2A"/>
    <w:rsid w:val="00674DD2"/>
    <w:rsid w:val="00676A46"/>
    <w:rsid w:val="0067762F"/>
    <w:rsid w:val="0068319F"/>
    <w:rsid w:val="006962E6"/>
    <w:rsid w:val="006B50EF"/>
    <w:rsid w:val="006C2B71"/>
    <w:rsid w:val="006D3098"/>
    <w:rsid w:val="006D6D56"/>
    <w:rsid w:val="006E3987"/>
    <w:rsid w:val="006E78B4"/>
    <w:rsid w:val="00704D22"/>
    <w:rsid w:val="00706560"/>
    <w:rsid w:val="007116FC"/>
    <w:rsid w:val="007212EC"/>
    <w:rsid w:val="00723C62"/>
    <w:rsid w:val="00725439"/>
    <w:rsid w:val="00725BA0"/>
    <w:rsid w:val="00726382"/>
    <w:rsid w:val="00756B66"/>
    <w:rsid w:val="00757965"/>
    <w:rsid w:val="0077405D"/>
    <w:rsid w:val="00774EE0"/>
    <w:rsid w:val="00786941"/>
    <w:rsid w:val="0079102E"/>
    <w:rsid w:val="00791246"/>
    <w:rsid w:val="00796318"/>
    <w:rsid w:val="007B358A"/>
    <w:rsid w:val="007C08AC"/>
    <w:rsid w:val="007D09C1"/>
    <w:rsid w:val="007E3458"/>
    <w:rsid w:val="007E52EA"/>
    <w:rsid w:val="007E5536"/>
    <w:rsid w:val="007E5FFD"/>
    <w:rsid w:val="007F1597"/>
    <w:rsid w:val="007F49D2"/>
    <w:rsid w:val="007F69BE"/>
    <w:rsid w:val="00811B48"/>
    <w:rsid w:val="008164E6"/>
    <w:rsid w:val="0082430B"/>
    <w:rsid w:val="008337E7"/>
    <w:rsid w:val="0083419C"/>
    <w:rsid w:val="0084786C"/>
    <w:rsid w:val="0085038A"/>
    <w:rsid w:val="00865D03"/>
    <w:rsid w:val="00867FEB"/>
    <w:rsid w:val="008770BE"/>
    <w:rsid w:val="00891B01"/>
    <w:rsid w:val="008940E7"/>
    <w:rsid w:val="008A4E5F"/>
    <w:rsid w:val="008B74F3"/>
    <w:rsid w:val="008C7CC6"/>
    <w:rsid w:val="008E473C"/>
    <w:rsid w:val="008F16F5"/>
    <w:rsid w:val="0090064D"/>
    <w:rsid w:val="00926D32"/>
    <w:rsid w:val="009270CD"/>
    <w:rsid w:val="00941A79"/>
    <w:rsid w:val="0095626A"/>
    <w:rsid w:val="00957177"/>
    <w:rsid w:val="00970B96"/>
    <w:rsid w:val="00984BEA"/>
    <w:rsid w:val="009A04F1"/>
    <w:rsid w:val="009B3457"/>
    <w:rsid w:val="009E598B"/>
    <w:rsid w:val="00A04A75"/>
    <w:rsid w:val="00A16B02"/>
    <w:rsid w:val="00A2519B"/>
    <w:rsid w:val="00A44439"/>
    <w:rsid w:val="00A530C8"/>
    <w:rsid w:val="00A67F6B"/>
    <w:rsid w:val="00A7545E"/>
    <w:rsid w:val="00AB06CB"/>
    <w:rsid w:val="00AB1F77"/>
    <w:rsid w:val="00AB7307"/>
    <w:rsid w:val="00AC5121"/>
    <w:rsid w:val="00AD2E81"/>
    <w:rsid w:val="00AE52CF"/>
    <w:rsid w:val="00AE6813"/>
    <w:rsid w:val="00AF5768"/>
    <w:rsid w:val="00AF6D5F"/>
    <w:rsid w:val="00B05807"/>
    <w:rsid w:val="00B1132B"/>
    <w:rsid w:val="00B13B17"/>
    <w:rsid w:val="00B1482B"/>
    <w:rsid w:val="00B27E2B"/>
    <w:rsid w:val="00B4370F"/>
    <w:rsid w:val="00B47011"/>
    <w:rsid w:val="00B57A16"/>
    <w:rsid w:val="00B83B99"/>
    <w:rsid w:val="00B97402"/>
    <w:rsid w:val="00BA1EAD"/>
    <w:rsid w:val="00BC7F36"/>
    <w:rsid w:val="00BD04D2"/>
    <w:rsid w:val="00BE11E4"/>
    <w:rsid w:val="00BF32CF"/>
    <w:rsid w:val="00BF482D"/>
    <w:rsid w:val="00C04AD3"/>
    <w:rsid w:val="00C06EDB"/>
    <w:rsid w:val="00C136D3"/>
    <w:rsid w:val="00C20975"/>
    <w:rsid w:val="00C26B22"/>
    <w:rsid w:val="00C3216D"/>
    <w:rsid w:val="00C37235"/>
    <w:rsid w:val="00C420EC"/>
    <w:rsid w:val="00C519CF"/>
    <w:rsid w:val="00C523C0"/>
    <w:rsid w:val="00C52D93"/>
    <w:rsid w:val="00C54550"/>
    <w:rsid w:val="00C6334E"/>
    <w:rsid w:val="00C710AD"/>
    <w:rsid w:val="00C76A1C"/>
    <w:rsid w:val="00C777D8"/>
    <w:rsid w:val="00C872CE"/>
    <w:rsid w:val="00C91B20"/>
    <w:rsid w:val="00C96E3D"/>
    <w:rsid w:val="00CA6CC0"/>
    <w:rsid w:val="00CD048E"/>
    <w:rsid w:val="00CE4284"/>
    <w:rsid w:val="00CF6FC6"/>
    <w:rsid w:val="00D05C80"/>
    <w:rsid w:val="00D10362"/>
    <w:rsid w:val="00D21DCD"/>
    <w:rsid w:val="00D26EEC"/>
    <w:rsid w:val="00D33DB0"/>
    <w:rsid w:val="00D42D8C"/>
    <w:rsid w:val="00D74C69"/>
    <w:rsid w:val="00D7657D"/>
    <w:rsid w:val="00D86E5B"/>
    <w:rsid w:val="00D90FB7"/>
    <w:rsid w:val="00D954FB"/>
    <w:rsid w:val="00DA4D5C"/>
    <w:rsid w:val="00DE7EBC"/>
    <w:rsid w:val="00DF4454"/>
    <w:rsid w:val="00DF502E"/>
    <w:rsid w:val="00DF7063"/>
    <w:rsid w:val="00E1280D"/>
    <w:rsid w:val="00E15787"/>
    <w:rsid w:val="00E26927"/>
    <w:rsid w:val="00E319CE"/>
    <w:rsid w:val="00E342F7"/>
    <w:rsid w:val="00E54681"/>
    <w:rsid w:val="00E5658C"/>
    <w:rsid w:val="00E60520"/>
    <w:rsid w:val="00E60CC5"/>
    <w:rsid w:val="00E634D6"/>
    <w:rsid w:val="00E82C0B"/>
    <w:rsid w:val="00E82FC6"/>
    <w:rsid w:val="00E95FD0"/>
    <w:rsid w:val="00E969A8"/>
    <w:rsid w:val="00EA302F"/>
    <w:rsid w:val="00EA7B18"/>
    <w:rsid w:val="00EB6F83"/>
    <w:rsid w:val="00EB7EDA"/>
    <w:rsid w:val="00EC76C0"/>
    <w:rsid w:val="00ED4005"/>
    <w:rsid w:val="00ED5BCB"/>
    <w:rsid w:val="00EE4A1F"/>
    <w:rsid w:val="00EF1C93"/>
    <w:rsid w:val="00F13404"/>
    <w:rsid w:val="00F4289C"/>
    <w:rsid w:val="00F5248E"/>
    <w:rsid w:val="00F527AF"/>
    <w:rsid w:val="00F539B5"/>
    <w:rsid w:val="00FB2A3D"/>
    <w:rsid w:val="00FF1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0ABF53D"/>
  <w15:docId w15:val="{970CD895-23DE-4FCF-BB0A-F2D7FB78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AF6D5F"/>
  </w:style>
  <w:style w:type="paragraph" w:styleId="Heading1">
    <w:name w:val="heading 1"/>
    <w:basedOn w:val="Normal"/>
    <w:next w:val="Normal"/>
    <w:link w:val="Heading1Char"/>
    <w:uiPriority w:val="9"/>
    <w:qFormat/>
    <w:rsid w:val="00B13B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3B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8"/>
    </w:pPr>
    <w:rPr>
      <w:rFonts w:ascii="Perpetua" w:eastAsia="Perpetua" w:hAnsi="Perpetua"/>
      <w:sz w:val="27"/>
      <w:szCs w:val="2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rsid w:val="000A63DE"/>
    <w:pPr>
      <w:widowControl/>
      <w:tabs>
        <w:tab w:val="center" w:pos="4153"/>
        <w:tab w:val="right" w:pos="8306"/>
      </w:tabs>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0A63D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0A63DE"/>
    <w:pPr>
      <w:widowControl/>
      <w:tabs>
        <w:tab w:val="center" w:pos="4153"/>
        <w:tab w:val="right" w:pos="8306"/>
      </w:tabs>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0A63DE"/>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0A63DE"/>
    <w:pPr>
      <w:widowControl/>
    </w:pPr>
    <w:rPr>
      <w:rFonts w:ascii="Courier" w:eastAsia="Times" w:hAnsi="Courier" w:cs="Times New Roman"/>
      <w:sz w:val="24"/>
      <w:szCs w:val="20"/>
      <w:lang w:val="en-GB" w:eastAsia="en-GB"/>
    </w:rPr>
  </w:style>
  <w:style w:type="character" w:customStyle="1" w:styleId="PlainTextChar">
    <w:name w:val="Plain Text Char"/>
    <w:basedOn w:val="DefaultParagraphFont"/>
    <w:link w:val="PlainText"/>
    <w:rsid w:val="000A63DE"/>
    <w:rPr>
      <w:rFonts w:ascii="Courier" w:eastAsia="Times" w:hAnsi="Courier" w:cs="Times New Roman"/>
      <w:sz w:val="24"/>
      <w:szCs w:val="20"/>
      <w:lang w:val="en-GB" w:eastAsia="en-GB"/>
    </w:rPr>
  </w:style>
  <w:style w:type="paragraph" w:styleId="BalloonText">
    <w:name w:val="Balloon Text"/>
    <w:basedOn w:val="Normal"/>
    <w:link w:val="BalloonTextChar"/>
    <w:uiPriority w:val="99"/>
    <w:semiHidden/>
    <w:unhideWhenUsed/>
    <w:rsid w:val="005A4531"/>
    <w:rPr>
      <w:rFonts w:ascii="Tahoma" w:hAnsi="Tahoma" w:cs="Tahoma"/>
      <w:sz w:val="16"/>
      <w:szCs w:val="16"/>
    </w:rPr>
  </w:style>
  <w:style w:type="character" w:customStyle="1" w:styleId="BalloonTextChar">
    <w:name w:val="Balloon Text Char"/>
    <w:basedOn w:val="DefaultParagraphFont"/>
    <w:link w:val="BalloonText"/>
    <w:uiPriority w:val="99"/>
    <w:semiHidden/>
    <w:rsid w:val="005A4531"/>
    <w:rPr>
      <w:rFonts w:ascii="Tahoma" w:hAnsi="Tahoma" w:cs="Tahoma"/>
      <w:sz w:val="16"/>
      <w:szCs w:val="16"/>
    </w:rPr>
  </w:style>
  <w:style w:type="table" w:styleId="LightShading">
    <w:name w:val="Light Shading"/>
    <w:basedOn w:val="TableNormal"/>
    <w:uiPriority w:val="60"/>
    <w:rsid w:val="005A45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A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A453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5A453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5A453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5A4531"/>
    <w:rPr>
      <w:color w:val="0000FF" w:themeColor="hyperlink"/>
      <w:u w:val="single"/>
    </w:rPr>
  </w:style>
  <w:style w:type="character" w:customStyle="1" w:styleId="Heading2Char">
    <w:name w:val="Heading 2 Char"/>
    <w:basedOn w:val="DefaultParagraphFont"/>
    <w:link w:val="Heading2"/>
    <w:uiPriority w:val="9"/>
    <w:rsid w:val="00B13B1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13B1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82C0B"/>
    <w:pPr>
      <w:widowControl/>
      <w:spacing w:after="450"/>
    </w:pPr>
    <w:rPr>
      <w:rFonts w:ascii="Times New Roman" w:hAnsi="Times New Roman" w:cs="Times New Roman"/>
      <w:sz w:val="23"/>
      <w:szCs w:val="23"/>
      <w:lang w:val="en-GB" w:eastAsia="en-GB"/>
    </w:rPr>
  </w:style>
  <w:style w:type="character" w:styleId="Strong">
    <w:name w:val="Strong"/>
    <w:basedOn w:val="DefaultParagraphFont"/>
    <w:uiPriority w:val="22"/>
    <w:qFormat/>
    <w:rsid w:val="00E82C0B"/>
    <w:rPr>
      <w:b/>
      <w:bCs/>
    </w:rPr>
  </w:style>
  <w:style w:type="paragraph" w:customStyle="1" w:styleId="xmsonormal">
    <w:name w:val="x_msonormal"/>
    <w:basedOn w:val="Normal"/>
    <w:rsid w:val="007116FC"/>
    <w:pPr>
      <w:widowControl/>
    </w:pPr>
    <w:rPr>
      <w:rFonts w:ascii="Times New Roman" w:hAnsi="Times New Roman" w:cs="Times New Roman"/>
      <w:sz w:val="24"/>
      <w:szCs w:val="24"/>
      <w:lang w:val="en-GB" w:eastAsia="en-GB"/>
    </w:rPr>
  </w:style>
  <w:style w:type="paragraph" w:customStyle="1" w:styleId="xmsolistparagraph">
    <w:name w:val="x_msolistparagraph"/>
    <w:basedOn w:val="Normal"/>
    <w:rsid w:val="007116FC"/>
    <w:pPr>
      <w:widowControl/>
    </w:pPr>
    <w:rPr>
      <w:rFonts w:ascii="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EE4A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10863">
      <w:bodyDiv w:val="1"/>
      <w:marLeft w:val="0"/>
      <w:marRight w:val="0"/>
      <w:marTop w:val="0"/>
      <w:marBottom w:val="0"/>
      <w:divBdr>
        <w:top w:val="none" w:sz="0" w:space="0" w:color="auto"/>
        <w:left w:val="none" w:sz="0" w:space="0" w:color="auto"/>
        <w:bottom w:val="none" w:sz="0" w:space="0" w:color="auto"/>
        <w:right w:val="none" w:sz="0" w:space="0" w:color="auto"/>
      </w:divBdr>
    </w:div>
    <w:div w:id="667366986">
      <w:bodyDiv w:val="1"/>
      <w:marLeft w:val="0"/>
      <w:marRight w:val="0"/>
      <w:marTop w:val="0"/>
      <w:marBottom w:val="0"/>
      <w:divBdr>
        <w:top w:val="none" w:sz="0" w:space="0" w:color="auto"/>
        <w:left w:val="none" w:sz="0" w:space="0" w:color="auto"/>
        <w:bottom w:val="none" w:sz="0" w:space="0" w:color="auto"/>
        <w:right w:val="none" w:sz="0" w:space="0" w:color="auto"/>
      </w:divBdr>
    </w:div>
    <w:div w:id="995887090">
      <w:bodyDiv w:val="1"/>
      <w:marLeft w:val="0"/>
      <w:marRight w:val="0"/>
      <w:marTop w:val="0"/>
      <w:marBottom w:val="0"/>
      <w:divBdr>
        <w:top w:val="none" w:sz="0" w:space="0" w:color="auto"/>
        <w:left w:val="none" w:sz="0" w:space="0" w:color="auto"/>
        <w:bottom w:val="none" w:sz="0" w:space="0" w:color="auto"/>
        <w:right w:val="none" w:sz="0" w:space="0" w:color="auto"/>
      </w:divBdr>
    </w:div>
    <w:div w:id="1081373683">
      <w:bodyDiv w:val="1"/>
      <w:marLeft w:val="0"/>
      <w:marRight w:val="0"/>
      <w:marTop w:val="0"/>
      <w:marBottom w:val="0"/>
      <w:divBdr>
        <w:top w:val="none" w:sz="0" w:space="0" w:color="auto"/>
        <w:left w:val="none" w:sz="0" w:space="0" w:color="auto"/>
        <w:bottom w:val="none" w:sz="0" w:space="0" w:color="auto"/>
        <w:right w:val="none" w:sz="0" w:space="0" w:color="auto"/>
      </w:divBdr>
    </w:div>
    <w:div w:id="1557350373">
      <w:bodyDiv w:val="1"/>
      <w:marLeft w:val="0"/>
      <w:marRight w:val="0"/>
      <w:marTop w:val="0"/>
      <w:marBottom w:val="0"/>
      <w:divBdr>
        <w:top w:val="none" w:sz="0" w:space="0" w:color="auto"/>
        <w:left w:val="none" w:sz="0" w:space="0" w:color="auto"/>
        <w:bottom w:val="none" w:sz="0" w:space="0" w:color="auto"/>
        <w:right w:val="none" w:sz="0" w:space="0" w:color="auto"/>
      </w:divBdr>
    </w:div>
    <w:div w:id="1647661896">
      <w:bodyDiv w:val="1"/>
      <w:marLeft w:val="0"/>
      <w:marRight w:val="0"/>
      <w:marTop w:val="0"/>
      <w:marBottom w:val="0"/>
      <w:divBdr>
        <w:top w:val="none" w:sz="0" w:space="0" w:color="auto"/>
        <w:left w:val="none" w:sz="0" w:space="0" w:color="auto"/>
        <w:bottom w:val="none" w:sz="0" w:space="0" w:color="auto"/>
        <w:right w:val="none" w:sz="0" w:space="0" w:color="auto"/>
      </w:divBdr>
    </w:div>
    <w:div w:id="1700735737">
      <w:bodyDiv w:val="1"/>
      <w:marLeft w:val="0"/>
      <w:marRight w:val="0"/>
      <w:marTop w:val="0"/>
      <w:marBottom w:val="0"/>
      <w:divBdr>
        <w:top w:val="none" w:sz="0" w:space="0" w:color="auto"/>
        <w:left w:val="none" w:sz="0" w:space="0" w:color="auto"/>
        <w:bottom w:val="none" w:sz="0" w:space="0" w:color="auto"/>
        <w:right w:val="none" w:sz="0" w:space="0" w:color="auto"/>
      </w:divBdr>
    </w:div>
    <w:div w:id="1858083093">
      <w:bodyDiv w:val="1"/>
      <w:marLeft w:val="0"/>
      <w:marRight w:val="0"/>
      <w:marTop w:val="0"/>
      <w:marBottom w:val="0"/>
      <w:divBdr>
        <w:top w:val="none" w:sz="0" w:space="0" w:color="auto"/>
        <w:left w:val="none" w:sz="0" w:space="0" w:color="auto"/>
        <w:bottom w:val="none" w:sz="0" w:space="0" w:color="auto"/>
        <w:right w:val="none" w:sz="0" w:space="0" w:color="auto"/>
      </w:divBdr>
    </w:div>
    <w:div w:id="2038702314">
      <w:bodyDiv w:val="1"/>
      <w:marLeft w:val="0"/>
      <w:marRight w:val="0"/>
      <w:marTop w:val="0"/>
      <w:marBottom w:val="0"/>
      <w:divBdr>
        <w:top w:val="none" w:sz="0" w:space="0" w:color="auto"/>
        <w:left w:val="none" w:sz="0" w:space="0" w:color="auto"/>
        <w:bottom w:val="none" w:sz="0" w:space="0" w:color="auto"/>
        <w:right w:val="none" w:sz="0" w:space="0" w:color="auto"/>
      </w:divBdr>
    </w:div>
    <w:div w:id="2069301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6.png@01D301FE.83FDB6C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A714-25EA-4CA6-8273-64973552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23300_BolingbrokePark_Letterhead_v5.indd</vt:lpstr>
    </vt:vector>
  </TitlesOfParts>
  <Company>London and Quadrant</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23300_BolingbrokePark_Letterhead_v5.indd</dc:title>
  <dc:creator>Lauren Hickford</dc:creator>
  <cp:lastModifiedBy>Claire Kemp</cp:lastModifiedBy>
  <cp:revision>3</cp:revision>
  <cp:lastPrinted>2019-09-16T12:26:00Z</cp:lastPrinted>
  <dcterms:created xsi:type="dcterms:W3CDTF">2021-06-25T12:48:00Z</dcterms:created>
  <dcterms:modified xsi:type="dcterms:W3CDTF">2021-06-25T12:49:00Z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Creator">
    <vt:lpwstr>Adobe InDesign CS5 (7.0)</vt:lpwstr>
  </property>
  <property fmtid="{D5CDD505-2E9C-101B-9397-08002B2CF9AE}" pid="4" name="LastSaved">
    <vt:filetime>2015-09-07T00:00:00Z</vt:filetime>
  </property>
</Properties>
</file>